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CF1" w:rsidRDefault="00731077">
      <w:pPr>
        <w:pStyle w:val="Gvdemetni30"/>
        <w:shd w:val="clear" w:color="auto" w:fill="auto"/>
        <w:tabs>
          <w:tab w:val="left" w:leader="underscore" w:pos="10220"/>
        </w:tabs>
        <w:spacing w:after="0"/>
        <w:ind w:left="500"/>
      </w:pPr>
      <w:r>
        <w:rPr>
          <w:rStyle w:val="Gvdemetni31"/>
        </w:rPr>
        <w:t xml:space="preserve">•• </w:t>
      </w:r>
      <w:r>
        <w:rPr>
          <w:rStyle w:val="Gvdemetni32"/>
        </w:rPr>
        <w:t xml:space="preserve">• </w:t>
      </w:r>
      <w:r>
        <w:rPr>
          <w:rStyle w:val="Gvdemetni33"/>
        </w:rPr>
        <w:t xml:space="preserve">•• </w:t>
      </w:r>
      <w:r>
        <w:rPr>
          <w:rStyle w:val="Gvdemetni310pt0ptbolukbraklyor"/>
        </w:rPr>
        <w:tab/>
      </w:r>
    </w:p>
    <w:p w:rsidR="006F5CF1" w:rsidRDefault="00731077">
      <w:pPr>
        <w:pStyle w:val="Balk10"/>
        <w:keepNext/>
        <w:keepLines/>
        <w:shd w:val="clear" w:color="auto" w:fill="auto"/>
        <w:tabs>
          <w:tab w:val="left" w:pos="7867"/>
        </w:tabs>
        <w:spacing w:before="0"/>
      </w:pPr>
      <w:bookmarkStart w:id="0" w:name="bookmark0"/>
      <w:r>
        <w:rPr>
          <w:rStyle w:val="Balk11"/>
          <w:b/>
          <w:bCs/>
        </w:rPr>
        <w:t>DOSIMM</w:t>
      </w:r>
      <w:r>
        <w:rPr>
          <w:rStyle w:val="Balk11"/>
          <w:b/>
          <w:bCs/>
        </w:rPr>
        <w:tab/>
      </w:r>
      <w:r>
        <w:rPr>
          <w:rStyle w:val="Balk12"/>
          <w:b/>
          <w:bCs/>
        </w:rPr>
        <w:t>MUZEKART</w:t>
      </w:r>
      <w:bookmarkEnd w:id="0"/>
    </w:p>
    <w:p w:rsidR="006F5CF1" w:rsidRDefault="00731077">
      <w:pPr>
        <w:pStyle w:val="Gvdemetni40"/>
        <w:shd w:val="clear" w:color="auto" w:fill="auto"/>
        <w:spacing w:after="117"/>
      </w:pPr>
      <w:r>
        <w:rPr>
          <w:rStyle w:val="Gvdemetni41"/>
        </w:rPr>
        <w:t>00*rt« M MI» Yİ I^IUMVUtM^MAMÜÖU</w:t>
      </w:r>
    </w:p>
    <w:p w:rsidR="006F5CF1" w:rsidRDefault="00731077">
      <w:pPr>
        <w:pStyle w:val="Balk220"/>
        <w:keepNext/>
        <w:keepLines/>
        <w:shd w:val="clear" w:color="auto" w:fill="auto"/>
        <w:spacing w:before="0" w:after="36"/>
        <w:ind w:left="180"/>
      </w:pPr>
      <w:bookmarkStart w:id="1" w:name="bookmark1"/>
      <w:r>
        <w:t>EK-3</w:t>
      </w:r>
      <w:bookmarkEnd w:id="1"/>
    </w:p>
    <w:p w:rsidR="00AA0D38" w:rsidRDefault="00731077" w:rsidP="00AA0D38">
      <w:pPr>
        <w:pStyle w:val="Gvdemetni50"/>
        <w:shd w:val="clear" w:color="auto" w:fill="auto"/>
        <w:spacing w:before="0"/>
        <w:ind w:right="360"/>
      </w:pPr>
      <w:r>
        <w:t>GİRİŞ KARTLARI</w:t>
      </w:r>
    </w:p>
    <w:p w:rsidR="00AA0D38" w:rsidRPr="00AA0D38" w:rsidRDefault="00AA0D38" w:rsidP="00AA0D38">
      <w:pPr>
        <w:pStyle w:val="ListeParagraf"/>
        <w:ind w:left="1440"/>
        <w:rPr>
          <w:b/>
          <w:sz w:val="20"/>
          <w:szCs w:val="20"/>
        </w:rPr>
      </w:pPr>
      <w:r w:rsidRPr="00AA0D38">
        <w:rPr>
          <w:b/>
          <w:sz w:val="20"/>
          <w:szCs w:val="20"/>
        </w:rPr>
        <w:t xml:space="preserve">            </w:t>
      </w:r>
      <w:r>
        <w:rPr>
          <w:b/>
          <w:sz w:val="20"/>
          <w:szCs w:val="20"/>
        </w:rPr>
        <w:t xml:space="preserve">     </w:t>
      </w:r>
      <w:r w:rsidRPr="00AA0D38">
        <w:rPr>
          <w:b/>
          <w:sz w:val="20"/>
          <w:szCs w:val="20"/>
        </w:rPr>
        <w:t xml:space="preserve">    (I)SAYILI CETVEL</w:t>
      </w:r>
    </w:p>
    <w:p w:rsidR="00AA0D38" w:rsidRPr="00AA0D38" w:rsidRDefault="00AA0D38" w:rsidP="00AA0D38"/>
    <w:p w:rsidR="00AA0D38" w:rsidRPr="00AA0D38" w:rsidRDefault="00AA0D38" w:rsidP="00AA0D38"/>
    <w:tbl>
      <w:tblPr>
        <w:tblOverlap w:val="never"/>
        <w:tblW w:w="0" w:type="auto"/>
        <w:jc w:val="center"/>
        <w:tblLayout w:type="fixed"/>
        <w:tblCellMar>
          <w:left w:w="10" w:type="dxa"/>
          <w:right w:w="10" w:type="dxa"/>
        </w:tblCellMar>
        <w:tblLook w:val="04A0" w:firstRow="1" w:lastRow="0" w:firstColumn="1" w:lastColumn="0" w:noHBand="0" w:noVBand="1"/>
      </w:tblPr>
      <w:tblGrid>
        <w:gridCol w:w="2851"/>
        <w:gridCol w:w="6754"/>
      </w:tblGrid>
      <w:tr w:rsidR="006F5CF1">
        <w:trPr>
          <w:trHeight w:hRule="exact" w:val="360"/>
          <w:jc w:val="center"/>
        </w:trPr>
        <w:tc>
          <w:tcPr>
            <w:tcW w:w="9605" w:type="dxa"/>
            <w:gridSpan w:val="2"/>
            <w:tcBorders>
              <w:top w:val="single" w:sz="4" w:space="0" w:color="auto"/>
              <w:left w:val="single" w:sz="4" w:space="0" w:color="auto"/>
              <w:right w:val="single" w:sz="4" w:space="0" w:color="auto"/>
            </w:tcBorders>
            <w:shd w:val="clear" w:color="auto" w:fill="92D14F"/>
            <w:vAlign w:val="bottom"/>
          </w:tcPr>
          <w:p w:rsidR="006F5CF1" w:rsidRDefault="00731077">
            <w:pPr>
              <w:pStyle w:val="Gvdemetni20"/>
              <w:framePr w:w="9605" w:wrap="notBeside" w:vAnchor="text" w:hAnchor="text" w:xAlign="center" w:y="1"/>
              <w:shd w:val="clear" w:color="auto" w:fill="auto"/>
              <w:spacing w:line="254" w:lineRule="exact"/>
              <w:jc w:val="center"/>
            </w:pPr>
            <w:r>
              <w:rPr>
                <w:rStyle w:val="Gvdemetni2115ptKaln"/>
              </w:rPr>
              <w:t>MÜZEKART (T.C VATANDAŞ)</w:t>
            </w:r>
          </w:p>
        </w:tc>
      </w:tr>
      <w:tr w:rsidR="006F5CF1">
        <w:trPr>
          <w:trHeight w:hRule="exact" w:val="350"/>
          <w:jc w:val="center"/>
        </w:trPr>
        <w:tc>
          <w:tcPr>
            <w:tcW w:w="2851" w:type="dxa"/>
            <w:tcBorders>
              <w:top w:val="single" w:sz="4" w:space="0" w:color="auto"/>
              <w:left w:val="single" w:sz="4" w:space="0" w:color="auto"/>
            </w:tcBorders>
            <w:shd w:val="clear" w:color="auto" w:fill="92D14F"/>
          </w:tcPr>
          <w:p w:rsidR="006F5CF1" w:rsidRDefault="00731077">
            <w:pPr>
              <w:pStyle w:val="Gvdemetni20"/>
              <w:framePr w:w="9605" w:wrap="notBeside" w:vAnchor="text" w:hAnchor="text" w:xAlign="center" w:y="1"/>
              <w:shd w:val="clear" w:color="auto" w:fill="auto"/>
              <w:spacing w:line="254" w:lineRule="exact"/>
              <w:jc w:val="center"/>
            </w:pPr>
            <w:r>
              <w:rPr>
                <w:rStyle w:val="Gvdemetni2115ptKaln"/>
              </w:rPr>
              <w:t>ADI</w:t>
            </w:r>
          </w:p>
        </w:tc>
        <w:tc>
          <w:tcPr>
            <w:tcW w:w="6754" w:type="dxa"/>
            <w:tcBorders>
              <w:top w:val="single" w:sz="4" w:space="0" w:color="auto"/>
              <w:left w:val="single" w:sz="4" w:space="0" w:color="auto"/>
              <w:right w:val="single" w:sz="4" w:space="0" w:color="auto"/>
            </w:tcBorders>
            <w:shd w:val="clear" w:color="auto" w:fill="92D14F"/>
          </w:tcPr>
          <w:p w:rsidR="006F5CF1" w:rsidRDefault="00731077">
            <w:pPr>
              <w:pStyle w:val="Gvdemetni20"/>
              <w:framePr w:w="9605" w:wrap="notBeside" w:vAnchor="text" w:hAnchor="text" w:xAlign="center" w:y="1"/>
              <w:shd w:val="clear" w:color="auto" w:fill="auto"/>
              <w:spacing w:line="254" w:lineRule="exact"/>
              <w:jc w:val="center"/>
            </w:pPr>
            <w:r>
              <w:rPr>
                <w:rStyle w:val="Gvdemetni2115ptKaln"/>
              </w:rPr>
              <w:t>ÖZELLİKLERİ</w:t>
            </w:r>
          </w:p>
        </w:tc>
      </w:tr>
      <w:tr w:rsidR="006F5CF1">
        <w:trPr>
          <w:trHeight w:hRule="exact" w:val="821"/>
          <w:jc w:val="center"/>
        </w:trPr>
        <w:tc>
          <w:tcPr>
            <w:tcW w:w="2851" w:type="dxa"/>
            <w:tcBorders>
              <w:top w:val="single" w:sz="4" w:space="0" w:color="auto"/>
              <w:left w:val="single" w:sz="4" w:space="0" w:color="auto"/>
            </w:tcBorders>
            <w:shd w:val="clear" w:color="auto" w:fill="FFFFFF"/>
          </w:tcPr>
          <w:p w:rsidR="006F5CF1" w:rsidRDefault="006F5CF1">
            <w:pPr>
              <w:framePr w:w="9605" w:wrap="notBeside" w:vAnchor="text" w:hAnchor="text" w:xAlign="center" w:y="1"/>
              <w:rPr>
                <w:sz w:val="10"/>
                <w:szCs w:val="10"/>
              </w:rPr>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1-)T.C. Kültür ve Turizm Bakanlığı, Milli Saraylar ve Çanakkale ve Gelibolu Tarihi Alan Başkanlığına bağlı 350’den fazla müze ve örenyerinin tamamına bir yıl boyunca aynı müzeye iki kere olmak üzere giriş hakkı sağlar.</w:t>
            </w:r>
          </w:p>
        </w:tc>
      </w:tr>
      <w:tr w:rsidR="006F5CF1">
        <w:trPr>
          <w:trHeight w:hRule="exact" w:val="2626"/>
          <w:jc w:val="center"/>
        </w:trPr>
        <w:tc>
          <w:tcPr>
            <w:tcW w:w="2851" w:type="dxa"/>
            <w:tcBorders>
              <w:left w:val="single" w:sz="4" w:space="0" w:color="auto"/>
            </w:tcBorders>
            <w:shd w:val="clear" w:color="auto" w:fill="FFFFFF"/>
          </w:tcPr>
          <w:p w:rsidR="006F5CF1" w:rsidRDefault="006F5CF1">
            <w:pPr>
              <w:framePr w:w="9605" w:wrap="notBeside" w:vAnchor="text" w:hAnchor="text" w:xAlign="center" w:y="1"/>
              <w:rPr>
                <w:sz w:val="10"/>
                <w:szCs w:val="10"/>
              </w:rPr>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2-)Türkiye Cumhuriyeti vatandaşları, 5203 Sayılı Kanuna tabi Mavi Kart sahipleri ve</w:t>
            </w:r>
          </w:p>
          <w:p w:rsidR="006F5CF1" w:rsidRDefault="00731077">
            <w:pPr>
              <w:pStyle w:val="Gvdemetni20"/>
              <w:framePr w:w="9605" w:wrap="notBeside" w:vAnchor="text" w:hAnchor="text" w:xAlign="center" w:y="1"/>
              <w:shd w:val="clear" w:color="auto" w:fill="auto"/>
              <w:spacing w:line="206" w:lineRule="exact"/>
            </w:pPr>
            <w:r>
              <w:rPr>
                <w:rStyle w:val="Gvdemetni285pt"/>
              </w:rPr>
              <w:t>KKTC vatandaşları tarafından edinilebilen Müzekart+; Topkapı Sarayı Müzesi Harem Bölümü, Aya İrini Anıt Müzesi, Efes Örenyeri Yamaçevler, Göreme Örenyeri Karanlık Kilise, Bodrum Sualtı Arkeoloji Müzesi Serçe Limanı Cam Batığı Sergi Salonu bölümleri ile Sedir Adası ve İstanbul Sinema Müzesi hariç olmak üzere Kültür ve Turizm</w:t>
            </w:r>
          </w:p>
          <w:p w:rsidR="006F5CF1" w:rsidRDefault="00731077">
            <w:pPr>
              <w:pStyle w:val="Gvdemetni20"/>
              <w:framePr w:w="9605" w:wrap="notBeside" w:vAnchor="text" w:hAnchor="text" w:xAlign="center" w:y="1"/>
              <w:shd w:val="clear" w:color="auto" w:fill="auto"/>
              <w:spacing w:line="206" w:lineRule="exact"/>
            </w:pPr>
            <w:r>
              <w:rPr>
                <w:rStyle w:val="Gvdemetni285pt"/>
              </w:rPr>
              <w:t>Bakanlığına bağlı tüm müze ve örenyerlerine, bir yıl boyunca her bir müzeye iki (2) giriş hakkı sağlamakta olup, bunun yanı sıra kültürel ve sanatsal faaliyetlere katılım kolaylığı sunarak çeşitli özel müzeler ile kültürel-turistik çekim noktalarına girişlerde, bu kurumların kafelerinde ve hediyelik eşya dükkanlarında değişik oranlarda indirim sağlar.</w:t>
            </w:r>
          </w:p>
        </w:tc>
      </w:tr>
      <w:tr w:rsidR="006F5CF1">
        <w:trPr>
          <w:trHeight w:hRule="exact" w:val="2784"/>
          <w:jc w:val="center"/>
        </w:trPr>
        <w:tc>
          <w:tcPr>
            <w:tcW w:w="2851" w:type="dxa"/>
            <w:tcBorders>
              <w:left w:val="single" w:sz="4" w:space="0" w:color="auto"/>
            </w:tcBorders>
            <w:shd w:val="clear" w:color="auto" w:fill="FFFFFF"/>
          </w:tcPr>
          <w:p w:rsidR="006F5CF1" w:rsidRDefault="00731077">
            <w:pPr>
              <w:pStyle w:val="Gvdemetni20"/>
              <w:framePr w:w="9605" w:wrap="notBeside" w:vAnchor="text" w:hAnchor="text" w:xAlign="center" w:y="1"/>
              <w:shd w:val="clear" w:color="auto" w:fill="auto"/>
              <w:spacing w:line="244" w:lineRule="exact"/>
              <w:jc w:val="center"/>
            </w:pPr>
            <w:r>
              <w:rPr>
                <w:rStyle w:val="Gvdemetni211pt"/>
              </w:rPr>
              <w:t>Müzekart +</w:t>
            </w: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3-)Türkiye Cumhuriyeti vatandaşlarına Bakanlığımıza bağlı müze ve örenyerlerine giriş hakkı sağlayan Müzekart+ ve çeşitleri (MuseumPass Kartlar hariç) ile, Milli Saraylar</w:t>
            </w:r>
          </w:p>
          <w:p w:rsidR="006F5CF1" w:rsidRDefault="00731077">
            <w:pPr>
              <w:pStyle w:val="Gvdemetni20"/>
              <w:framePr w:w="9605" w:wrap="notBeside" w:vAnchor="text" w:hAnchor="text" w:xAlign="center" w:y="1"/>
              <w:shd w:val="clear" w:color="auto" w:fill="auto"/>
              <w:spacing w:line="206" w:lineRule="exact"/>
            </w:pPr>
            <w:r>
              <w:rPr>
                <w:rStyle w:val="Gvdemetni285pt"/>
              </w:rPr>
              <w:t>İdaresi Başkanlığına bağlı Topkapı Sarayı (Harem Bölümü hariç), Dolmabahçe Sarayı (Selamlık Bölümü hariç), Beylerbeyi Sarayı, Milli Saraylar Resim Müzesi, Saray Koleksiyonları Müzesi, Ihlamur Kasrı, Maslak Kasırları, Aynalıkavak Kasrı, Küçüksu</w:t>
            </w:r>
          </w:p>
          <w:p w:rsidR="006F5CF1" w:rsidRDefault="00731077">
            <w:pPr>
              <w:pStyle w:val="Gvdemetni20"/>
              <w:framePr w:w="9605" w:wrap="notBeside" w:vAnchor="text" w:hAnchor="text" w:xAlign="center" w:y="1"/>
              <w:shd w:val="clear" w:color="auto" w:fill="auto"/>
              <w:spacing w:line="206" w:lineRule="exact"/>
            </w:pPr>
            <w:r>
              <w:rPr>
                <w:rStyle w:val="Gvdemetni285pt"/>
              </w:rPr>
              <w:t>Kasrı, Beykoz Mecidiye Kasrı, Hereke Halı ve İpekli Dokuma Fabrikası, Milli Saraylar İslam Medeniyetleri ;Müzesi ve Yıldız Çini Fabrika-i Hümayunu ile Çanakkale Savaşları Gelibolu Tarihi Alanında bulunan Çanakkale Destanı Tanıtım Merkezi, Kilitbahir Kale Müzesi, Namazgah Tabyası ve Çanakkale Savaşları Tarih Müzesi ve Çanakkale Savaş Müzesi ziyaret edilebilir.</w:t>
            </w:r>
          </w:p>
        </w:tc>
      </w:tr>
      <w:tr w:rsidR="006F5CF1">
        <w:trPr>
          <w:trHeight w:hRule="exact" w:val="422"/>
          <w:jc w:val="center"/>
        </w:trPr>
        <w:tc>
          <w:tcPr>
            <w:tcW w:w="2851" w:type="dxa"/>
            <w:tcBorders>
              <w:left w:val="single" w:sz="4" w:space="0" w:color="auto"/>
            </w:tcBorders>
            <w:shd w:val="clear" w:color="auto" w:fill="FFFFFF"/>
          </w:tcPr>
          <w:p w:rsidR="006F5CF1" w:rsidRDefault="006F5CF1">
            <w:pPr>
              <w:framePr w:w="9605" w:wrap="notBeside" w:vAnchor="text" w:hAnchor="text" w:xAlign="center" w:y="1"/>
              <w:rPr>
                <w:sz w:val="10"/>
                <w:szCs w:val="10"/>
              </w:rPr>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188" w:lineRule="exact"/>
            </w:pPr>
            <w:r>
              <w:rPr>
                <w:rStyle w:val="Gvdemetni285pt"/>
              </w:rPr>
              <w:t>4-) Müze girişlerinde iki geçiş arasında üç saat geçmesi zorunludur.</w:t>
            </w:r>
          </w:p>
        </w:tc>
      </w:tr>
      <w:tr w:rsidR="006F5CF1">
        <w:trPr>
          <w:trHeight w:hRule="exact" w:val="533"/>
          <w:jc w:val="center"/>
        </w:trPr>
        <w:tc>
          <w:tcPr>
            <w:tcW w:w="2851" w:type="dxa"/>
            <w:tcBorders>
              <w:left w:val="single" w:sz="4" w:space="0" w:color="auto"/>
            </w:tcBorders>
            <w:shd w:val="clear" w:color="auto" w:fill="FFFFFF"/>
          </w:tcPr>
          <w:p w:rsidR="006F5CF1" w:rsidRDefault="006F5CF1">
            <w:pPr>
              <w:framePr w:w="9605" w:wrap="notBeside" w:vAnchor="text" w:hAnchor="text" w:xAlign="center" w:y="1"/>
              <w:rPr>
                <w:sz w:val="10"/>
                <w:szCs w:val="10"/>
              </w:rPr>
            </w:pP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206" w:lineRule="exact"/>
            </w:pPr>
            <w:r>
              <w:rPr>
                <w:rStyle w:val="Gvdemetni285pt"/>
              </w:rPr>
              <w:t xml:space="preserve">5-) e-Devlet kapısı MüzeKart İşlemleri, </w:t>
            </w:r>
            <w:r>
              <w:rPr>
                <w:rStyle w:val="Gvdemetni285pt"/>
                <w:lang w:val="en-US" w:eastAsia="en-US" w:bidi="en-US"/>
              </w:rPr>
              <w:t xml:space="preserve">muze.gov.tr, </w:t>
            </w:r>
            <w:r>
              <w:rPr>
                <w:rStyle w:val="Gvdemetni285pt"/>
              </w:rPr>
              <w:t>MüzeKart:Türkiyen'in Müzeleri Uygulaması ve satış yapılan müze gişeleri ve Müzekart satış noktalarından edinilebilir.</w:t>
            </w:r>
          </w:p>
        </w:tc>
      </w:tr>
      <w:tr w:rsidR="006F5CF1">
        <w:trPr>
          <w:trHeight w:hRule="exact" w:val="1474"/>
          <w:jc w:val="center"/>
        </w:trPr>
        <w:tc>
          <w:tcPr>
            <w:tcW w:w="2851" w:type="dxa"/>
            <w:tcBorders>
              <w:top w:val="single" w:sz="4" w:space="0" w:color="auto"/>
              <w:left w:val="single" w:sz="4" w:space="0" w:color="auto"/>
            </w:tcBorders>
            <w:shd w:val="clear" w:color="auto" w:fill="FFFFFF"/>
          </w:tcPr>
          <w:p w:rsidR="006F5CF1" w:rsidRDefault="006F5CF1">
            <w:pPr>
              <w:framePr w:w="9605" w:wrap="notBeside" w:vAnchor="text" w:hAnchor="text" w:xAlign="center" w:y="1"/>
              <w:rPr>
                <w:sz w:val="10"/>
                <w:szCs w:val="10"/>
              </w:rPr>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1-)Emekli öğretmenlere, 6326 Sayılı Turist Rehberleri Meslek Kanunu uyarınca Bakanlığımız tarafından ruhsatname verilen eylemsiz turist rehberlerine, 18 yaş üzeri öğrencilere, Ülkemizde ortaöğretim kuramlarında eğitim gören yabancı öğrenciler ile yüksek öğrenim kuramlarında önlisans, lisans veya yüksek lisans programlarına devam eden yabancı öğrencilere ve KKTC vatandaşı öğrencilere, öğrenci kimliği ibrazı şartı ile İndirimli Müzekart+ düzenlenebilir.</w:t>
            </w:r>
          </w:p>
        </w:tc>
      </w:tr>
      <w:tr w:rsidR="006F5CF1">
        <w:trPr>
          <w:trHeight w:hRule="exact" w:val="322"/>
          <w:jc w:val="center"/>
        </w:trPr>
        <w:tc>
          <w:tcPr>
            <w:tcW w:w="2851" w:type="dxa"/>
            <w:tcBorders>
              <w:left w:val="single" w:sz="4" w:space="0" w:color="auto"/>
            </w:tcBorders>
            <w:shd w:val="clear" w:color="auto" w:fill="FFFFFF"/>
          </w:tcPr>
          <w:p w:rsidR="006F5CF1" w:rsidRDefault="006F5CF1">
            <w:pPr>
              <w:framePr w:w="9605" w:wrap="notBeside" w:vAnchor="text" w:hAnchor="text" w:xAlign="center" w:y="1"/>
              <w:rPr>
                <w:sz w:val="10"/>
                <w:szCs w:val="10"/>
              </w:rPr>
            </w:pP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188" w:lineRule="exact"/>
            </w:pPr>
            <w:r>
              <w:rPr>
                <w:rStyle w:val="Gvdemetni285pt"/>
              </w:rPr>
              <w:t>2-)Aynı müzeye 1 yılda sadece 2 giriş hakkı tanır.</w:t>
            </w:r>
          </w:p>
        </w:tc>
      </w:tr>
      <w:tr w:rsidR="006F5CF1">
        <w:trPr>
          <w:trHeight w:hRule="exact" w:val="2054"/>
          <w:jc w:val="center"/>
        </w:trPr>
        <w:tc>
          <w:tcPr>
            <w:tcW w:w="2851" w:type="dxa"/>
            <w:tcBorders>
              <w:left w:val="single" w:sz="4" w:space="0" w:color="auto"/>
              <w:bottom w:val="single" w:sz="4" w:space="0" w:color="auto"/>
            </w:tcBorders>
            <w:shd w:val="clear" w:color="auto" w:fill="FFFFFF"/>
          </w:tcPr>
          <w:p w:rsidR="006F5CF1" w:rsidRDefault="00731077">
            <w:pPr>
              <w:pStyle w:val="Gvdemetni20"/>
              <w:framePr w:w="9605" w:wrap="notBeside" w:vAnchor="text" w:hAnchor="text" w:xAlign="center" w:y="1"/>
              <w:shd w:val="clear" w:color="auto" w:fill="auto"/>
              <w:spacing w:line="244" w:lineRule="exact"/>
              <w:jc w:val="center"/>
            </w:pPr>
            <w:r>
              <w:rPr>
                <w:rStyle w:val="Gvdemetni211pt"/>
              </w:rPr>
              <w:t>Müzekart İndirimli</w:t>
            </w:r>
          </w:p>
        </w:tc>
        <w:tc>
          <w:tcPr>
            <w:tcW w:w="6754" w:type="dxa"/>
            <w:tcBorders>
              <w:top w:val="single" w:sz="4" w:space="0" w:color="auto"/>
              <w:left w:val="single" w:sz="4" w:space="0" w:color="auto"/>
              <w:bottom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3-)Müzekart İndirimli Topkapı Sarayı Müzesi Harem Bölümü, Aya İrini Anıt Müzesi,</w:t>
            </w:r>
          </w:p>
          <w:p w:rsidR="006F5CF1" w:rsidRDefault="00731077">
            <w:pPr>
              <w:pStyle w:val="Gvdemetni20"/>
              <w:framePr w:w="9605" w:wrap="notBeside" w:vAnchor="text" w:hAnchor="text" w:xAlign="center" w:y="1"/>
              <w:shd w:val="clear" w:color="auto" w:fill="auto"/>
              <w:spacing w:line="206" w:lineRule="exact"/>
            </w:pPr>
            <w:r>
              <w:rPr>
                <w:rStyle w:val="Gvdemetni285pt"/>
              </w:rPr>
              <w:t>Efes Örenyeri Yamaçevler, Göreme Örenyeri Karanlık Kilise, Bodrum Sualtı Arkeoloji Müzesi Serçe Limanı Cam Batığı Sergi Salonu bölümleri ile Sedir Adası ve İstanbul</w:t>
            </w:r>
          </w:p>
          <w:p w:rsidR="006F5CF1" w:rsidRDefault="00731077">
            <w:pPr>
              <w:pStyle w:val="Gvdemetni20"/>
              <w:framePr w:w="9605" w:wrap="notBeside" w:vAnchor="text" w:hAnchor="text" w:xAlign="center" w:y="1"/>
              <w:shd w:val="clear" w:color="auto" w:fill="auto"/>
              <w:spacing w:line="206" w:lineRule="exact"/>
            </w:pPr>
            <w:r>
              <w:rPr>
                <w:rStyle w:val="Gvdemetni285pt"/>
              </w:rPr>
              <w:t>Sinema Müzesi hariç olmak üzere Kültür ve Turizm Bakanlığına bağlı tüm müze ve örenyerlerine, bir yıl boyunca aynı müzeye iki (2) kez giriş hakkı sağlamakta olup, bunun yanı sıra kültürel ve sanatsal faaliyetlere katılım kolaylığı sunarak çeşitli özel müzeler ile kültürel-turistik çekim noktalarına girişlerde, bu kurumların kafelerinde ve hediyelik eşya dükkanlarında değişik oranlarda indirim sağlar.</w:t>
            </w:r>
          </w:p>
        </w:tc>
      </w:tr>
    </w:tbl>
    <w:p w:rsidR="006F5CF1" w:rsidRDefault="006F5CF1">
      <w:pPr>
        <w:framePr w:w="9605" w:wrap="notBeside" w:vAnchor="text" w:hAnchor="text" w:xAlign="center" w:y="1"/>
        <w:rPr>
          <w:sz w:val="2"/>
          <w:szCs w:val="2"/>
        </w:rPr>
      </w:pPr>
    </w:p>
    <w:p w:rsidR="006F5CF1" w:rsidRDefault="006F5CF1">
      <w:pPr>
        <w:rPr>
          <w:sz w:val="2"/>
          <w:szCs w:val="2"/>
        </w:rPr>
      </w:pPr>
    </w:p>
    <w:p w:rsidR="006F5CF1" w:rsidRPr="00AA0D38" w:rsidRDefault="00731077">
      <w:pPr>
        <w:pStyle w:val="Balk10"/>
        <w:keepNext/>
        <w:keepLines/>
        <w:shd w:val="clear" w:color="auto" w:fill="auto"/>
        <w:tabs>
          <w:tab w:val="left" w:pos="7867"/>
        </w:tabs>
        <w:spacing w:before="0"/>
        <w:rPr>
          <w:sz w:val="32"/>
          <w:szCs w:val="32"/>
        </w:rPr>
      </w:pPr>
      <w:bookmarkStart w:id="2" w:name="bookmark3"/>
      <w:r w:rsidRPr="00AA0D38">
        <w:rPr>
          <w:rStyle w:val="Balk11"/>
          <w:b/>
          <w:bCs/>
          <w:sz w:val="32"/>
          <w:szCs w:val="32"/>
        </w:rPr>
        <w:lastRenderedPageBreak/>
        <w:t>DÖSİMM</w:t>
      </w:r>
      <w:r>
        <w:rPr>
          <w:rStyle w:val="Balk11"/>
          <w:b/>
          <w:bCs/>
        </w:rPr>
        <w:tab/>
      </w:r>
      <w:r w:rsidRPr="00AA0D38">
        <w:rPr>
          <w:rStyle w:val="Balk12"/>
          <w:b/>
          <w:bCs/>
          <w:sz w:val="32"/>
          <w:szCs w:val="32"/>
        </w:rPr>
        <w:t>MUZEKART</w:t>
      </w:r>
      <w:bookmarkEnd w:id="2"/>
    </w:p>
    <w:tbl>
      <w:tblPr>
        <w:tblOverlap w:val="never"/>
        <w:tblW w:w="0" w:type="auto"/>
        <w:jc w:val="center"/>
        <w:tblLayout w:type="fixed"/>
        <w:tblCellMar>
          <w:left w:w="10" w:type="dxa"/>
          <w:right w:w="10" w:type="dxa"/>
        </w:tblCellMar>
        <w:tblLook w:val="04A0" w:firstRow="1" w:lastRow="0" w:firstColumn="1" w:lastColumn="0" w:noHBand="0" w:noVBand="1"/>
      </w:tblPr>
      <w:tblGrid>
        <w:gridCol w:w="2851"/>
        <w:gridCol w:w="6754"/>
      </w:tblGrid>
      <w:tr w:rsidR="006F5CF1">
        <w:trPr>
          <w:trHeight w:hRule="exact" w:val="2275"/>
          <w:jc w:val="center"/>
        </w:trPr>
        <w:tc>
          <w:tcPr>
            <w:tcW w:w="2851" w:type="dxa"/>
            <w:vMerge w:val="restart"/>
            <w:tcBorders>
              <w:left w:val="single" w:sz="4" w:space="0" w:color="auto"/>
            </w:tcBorders>
            <w:shd w:val="clear" w:color="auto" w:fill="FFFFFF"/>
          </w:tcPr>
          <w:p w:rsidR="006F5CF1" w:rsidRDefault="006F5CF1">
            <w:pPr>
              <w:framePr w:w="9605" w:wrap="notBeside" w:vAnchor="text" w:hAnchor="text" w:xAlign="center" w:y="1"/>
              <w:rPr>
                <w:sz w:val="10"/>
                <w:szCs w:val="10"/>
              </w:rPr>
            </w:pPr>
          </w:p>
        </w:tc>
        <w:tc>
          <w:tcPr>
            <w:tcW w:w="6754" w:type="dxa"/>
            <w:tcBorders>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4-)Müzekart İndirimli ile Milli Saraylar İdaresi Başkanlığına bağlı Topkapı Sarayı (Harem Bölümü hariç), Dolmabahçe Sarayı (Selamlık Bölümü hariç), Beylerbeyi Sarayı, Milli Saraylar Resim Müzesi, Saray Koleksiyonları Müzesi, Ihlamur Kasrı, Maslak Kasırları, Aynalıkavak Kasrı, Küçüksu Kasrı, Beykoz Mecidiye Kasrı, Hereke Halı ve İpekli</w:t>
            </w:r>
          </w:p>
          <w:p w:rsidR="006F5CF1" w:rsidRDefault="00731077">
            <w:pPr>
              <w:pStyle w:val="Gvdemetni20"/>
              <w:framePr w:w="9605" w:wrap="notBeside" w:vAnchor="text" w:hAnchor="text" w:xAlign="center" w:y="1"/>
              <w:shd w:val="clear" w:color="auto" w:fill="auto"/>
              <w:spacing w:line="206" w:lineRule="exact"/>
            </w:pPr>
            <w:r>
              <w:rPr>
                <w:rStyle w:val="Gvdemetni285pt"/>
              </w:rPr>
              <w:t>Dokuma Fabrikası, Milli Saraylar İslam Medeniyetleri ;Müzesi ve Yıldız Çini Fabrika-i Hümayunu ile Çanakkale Savaşları Gelibolu Tarihi Alanında bulunan Çanakkale Destanı Tanıtım Merkezi, Kilitbahir Kale Müzesi, Namazgah Tabyası ve Çanakkale Savaşları Tarih Müzesi ve Çanakkale Savaş Müzesi ziyaret edilebilir.</w:t>
            </w:r>
          </w:p>
        </w:tc>
      </w:tr>
      <w:tr w:rsidR="006F5CF1">
        <w:trPr>
          <w:trHeight w:hRule="exact" w:val="835"/>
          <w:jc w:val="center"/>
        </w:trPr>
        <w:tc>
          <w:tcPr>
            <w:tcW w:w="2851" w:type="dxa"/>
            <w:vMerge/>
            <w:tcBorders>
              <w:left w:val="single" w:sz="4" w:space="0" w:color="auto"/>
            </w:tcBorders>
            <w:shd w:val="clear" w:color="auto" w:fill="FFFFFF"/>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5-)Belge beyanı zorunludur. Üniversiteler Tarafından Düzenlenen Öğrenci Kimlik Kartı İbrazı ya da e-devlet Öğrenci Belgesi Görseli, M.E.B alınan ilgili belgeler, meslek kuruluşlarından alınan ilgili belgeler vb.</w:t>
            </w:r>
          </w:p>
        </w:tc>
      </w:tr>
      <w:tr w:rsidR="006F5CF1">
        <w:trPr>
          <w:trHeight w:hRule="exact" w:val="662"/>
          <w:jc w:val="center"/>
        </w:trPr>
        <w:tc>
          <w:tcPr>
            <w:tcW w:w="2851" w:type="dxa"/>
            <w:vMerge/>
            <w:tcBorders>
              <w:left w:val="single" w:sz="4" w:space="0" w:color="auto"/>
            </w:tcBorders>
            <w:shd w:val="clear" w:color="auto" w:fill="FFFFFF"/>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6-) e-Devlet kapısı MüzeKart İşlemleri (kısmi), satış yapılan müze gişeleri ve Müzekart satış noktalarından edinilebilir.</w:t>
            </w:r>
          </w:p>
        </w:tc>
      </w:tr>
      <w:tr w:rsidR="006F5CF1">
        <w:trPr>
          <w:trHeight w:hRule="exact" w:val="336"/>
          <w:jc w:val="center"/>
        </w:trPr>
        <w:tc>
          <w:tcPr>
            <w:tcW w:w="2851" w:type="dxa"/>
            <w:vMerge w:val="restart"/>
            <w:tcBorders>
              <w:top w:val="single" w:sz="4" w:space="0" w:color="auto"/>
              <w:lef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44" w:lineRule="exact"/>
              <w:jc w:val="center"/>
            </w:pPr>
            <w:r>
              <w:rPr>
                <w:rStyle w:val="Gvdemetni211pt"/>
              </w:rPr>
              <w:t>Müzekart Akademi</w:t>
            </w: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188" w:lineRule="exact"/>
            </w:pPr>
            <w:r>
              <w:rPr>
                <w:rStyle w:val="Gvdemetni285pt"/>
              </w:rPr>
              <w:t>1-)Müzekart İndirimli ile aynı özelliklere sahiptir.</w:t>
            </w:r>
          </w:p>
        </w:tc>
      </w:tr>
      <w:tr w:rsidR="006F5CF1">
        <w:trPr>
          <w:trHeight w:hRule="exact" w:val="720"/>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206" w:lineRule="exact"/>
            </w:pPr>
            <w:r>
              <w:rPr>
                <w:rStyle w:val="Gvdemetni285pt"/>
              </w:rPr>
              <w:t>2-)Yüksek öğrenim gören vatandaşlarımız için aktif öğrenci olma şartı aranır.E Devlet öğrenci Belgesi, Öğrenci belgesi görseli, akademisyen olduğunu gösteren ispatlayıcı belge aranır. Akademisyenler için kimlik ibrazı zorunludur.</w:t>
            </w:r>
          </w:p>
        </w:tc>
      </w:tr>
      <w:tr w:rsidR="006F5CF1">
        <w:trPr>
          <w:trHeight w:hRule="exact" w:val="653"/>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3-) e-Devlet kapısı MüzeKart İşlemleri, satış yapılan müze gişeleri ve Müzekart satış noktalarından edinilebilir.</w:t>
            </w:r>
          </w:p>
        </w:tc>
      </w:tr>
      <w:tr w:rsidR="006F5CF1">
        <w:trPr>
          <w:trHeight w:hRule="exact" w:val="394"/>
          <w:jc w:val="center"/>
        </w:trPr>
        <w:tc>
          <w:tcPr>
            <w:tcW w:w="2851" w:type="dxa"/>
            <w:vMerge w:val="restart"/>
            <w:tcBorders>
              <w:top w:val="single" w:sz="4" w:space="0" w:color="auto"/>
              <w:lef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44" w:lineRule="exact"/>
              <w:jc w:val="center"/>
            </w:pPr>
            <w:r>
              <w:rPr>
                <w:rStyle w:val="Gvdemetni211pt"/>
              </w:rPr>
              <w:t>Müzekart Engelsiz</w:t>
            </w: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188" w:lineRule="exact"/>
            </w:pPr>
            <w:r>
              <w:rPr>
                <w:rStyle w:val="Gvdemetni285pt"/>
              </w:rPr>
              <w:t>1-)Müzekart + ile aynı özelliklere sahiptir.</w:t>
            </w:r>
          </w:p>
        </w:tc>
      </w:tr>
      <w:tr w:rsidR="006F5CF1">
        <w:trPr>
          <w:trHeight w:hRule="exact" w:val="456"/>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206" w:lineRule="exact"/>
            </w:pPr>
            <w:r>
              <w:rPr>
                <w:rStyle w:val="Gvdemetni285pt"/>
              </w:rPr>
              <w:t>2-)Engelli vatandaşlar için sunulan hizmetin edinimi için görünür engellerde rapor ibrazı zorunlu değildir. Görünmeyen engellerde rapor ibrazı gereklidir.</w:t>
            </w:r>
          </w:p>
        </w:tc>
      </w:tr>
      <w:tr w:rsidR="006F5CF1">
        <w:trPr>
          <w:trHeight w:hRule="exact" w:val="590"/>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3-) e-Devlet kapısı MüzeKart İşlemleri, satış yapılan müze gişeleri ve Müzekart satış noktalarından edinilebilir.</w:t>
            </w:r>
          </w:p>
        </w:tc>
      </w:tr>
      <w:tr w:rsidR="006F5CF1">
        <w:trPr>
          <w:trHeight w:hRule="exact" w:val="379"/>
          <w:jc w:val="center"/>
        </w:trPr>
        <w:tc>
          <w:tcPr>
            <w:tcW w:w="2851" w:type="dxa"/>
            <w:vMerge w:val="restart"/>
            <w:tcBorders>
              <w:top w:val="single" w:sz="4" w:space="0" w:color="auto"/>
              <w:lef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44" w:lineRule="exact"/>
              <w:jc w:val="center"/>
            </w:pPr>
            <w:r>
              <w:rPr>
                <w:rStyle w:val="Gvdemetni211pt"/>
              </w:rPr>
              <w:t>Müzekart KTB</w:t>
            </w: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188" w:lineRule="exact"/>
            </w:pPr>
            <w:r>
              <w:rPr>
                <w:rStyle w:val="Gvdemetni285pt"/>
              </w:rPr>
              <w:t>1-)Müzekart İndirimli ile aynı özelliklere sahiptir.</w:t>
            </w:r>
          </w:p>
        </w:tc>
      </w:tr>
      <w:tr w:rsidR="006F5CF1">
        <w:trPr>
          <w:trHeight w:hRule="exact" w:val="322"/>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188" w:lineRule="exact"/>
            </w:pPr>
            <w:r>
              <w:rPr>
                <w:rStyle w:val="Gvdemetni285pt"/>
              </w:rPr>
              <w:t>2-)Bakanlık çalışanları ve 1. derece akrabalarına satışı gerçekleştirilir.</w:t>
            </w:r>
          </w:p>
        </w:tc>
      </w:tr>
      <w:tr w:rsidR="006F5CF1">
        <w:trPr>
          <w:trHeight w:hRule="exact" w:val="499"/>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188" w:lineRule="exact"/>
            </w:pPr>
            <w:r>
              <w:rPr>
                <w:rStyle w:val="Gvdemetni285pt"/>
              </w:rPr>
              <w:t>3-) Müze gişeleri ve Müzekart satış noktalarından edinilebilir.</w:t>
            </w:r>
          </w:p>
        </w:tc>
      </w:tr>
      <w:tr w:rsidR="006F5CF1">
        <w:trPr>
          <w:trHeight w:hRule="exact" w:val="336"/>
          <w:jc w:val="center"/>
        </w:trPr>
        <w:tc>
          <w:tcPr>
            <w:tcW w:w="2851" w:type="dxa"/>
            <w:vMerge w:val="restart"/>
            <w:tcBorders>
              <w:top w:val="single" w:sz="4" w:space="0" w:color="auto"/>
              <w:lef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44" w:lineRule="exact"/>
              <w:ind w:left="240"/>
            </w:pPr>
            <w:r>
              <w:rPr>
                <w:rStyle w:val="Gvdemetni211pt"/>
              </w:rPr>
              <w:t>Müzekart 18 Yaş ve Altı</w:t>
            </w: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188" w:lineRule="exact"/>
            </w:pPr>
            <w:r>
              <w:rPr>
                <w:rStyle w:val="Gvdemetni285pt"/>
              </w:rPr>
              <w:t>1-)Müzekart Mobil ile aynı özelliğe sahiptir.</w:t>
            </w:r>
          </w:p>
        </w:tc>
      </w:tr>
      <w:tr w:rsidR="006F5CF1">
        <w:trPr>
          <w:trHeight w:hRule="exact" w:val="336"/>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188" w:lineRule="exact"/>
            </w:pPr>
            <w:r>
              <w:rPr>
                <w:rStyle w:val="Gvdemetni285pt"/>
              </w:rPr>
              <w:t>2-)18 yaş ve altı vatandaşlar edinebilir.</w:t>
            </w:r>
          </w:p>
        </w:tc>
      </w:tr>
      <w:tr w:rsidR="006F5CF1">
        <w:trPr>
          <w:trHeight w:hRule="exact" w:val="576"/>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 xml:space="preserve">3-) e-Devlet kapısı MüzeKart İşlemleri, </w:t>
            </w:r>
            <w:r>
              <w:rPr>
                <w:rStyle w:val="Gvdemetni285pt"/>
                <w:lang w:val="en-US" w:eastAsia="en-US" w:bidi="en-US"/>
              </w:rPr>
              <w:t xml:space="preserve">muze.gov.tr, </w:t>
            </w:r>
            <w:r>
              <w:rPr>
                <w:rStyle w:val="Gvdemetni285pt"/>
              </w:rPr>
              <w:t>MüzeKart:Türkiyen'in Müzeleri Uygulaması ve satış yapılan müze gişeleri ve Müzekart satış noktalarından edinilebilir.</w:t>
            </w:r>
          </w:p>
        </w:tc>
      </w:tr>
      <w:tr w:rsidR="006F5CF1">
        <w:trPr>
          <w:trHeight w:hRule="exact" w:val="331"/>
          <w:jc w:val="center"/>
        </w:trPr>
        <w:tc>
          <w:tcPr>
            <w:tcW w:w="2851" w:type="dxa"/>
            <w:vMerge w:val="restart"/>
            <w:tcBorders>
              <w:top w:val="single" w:sz="4" w:space="0" w:color="auto"/>
              <w:lef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44" w:lineRule="exact"/>
              <w:jc w:val="center"/>
            </w:pPr>
            <w:r>
              <w:rPr>
                <w:rStyle w:val="Gvdemetni211pt"/>
              </w:rPr>
              <w:t>Müzekart İlk Kartım</w:t>
            </w: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188" w:lineRule="exact"/>
            </w:pPr>
            <w:r>
              <w:rPr>
                <w:rStyle w:val="Gvdemetni285pt"/>
              </w:rPr>
              <w:t>1-)18 yaş ve altı vatandaşlar edinebilir.</w:t>
            </w:r>
          </w:p>
        </w:tc>
      </w:tr>
      <w:tr w:rsidR="006F5CF1">
        <w:trPr>
          <w:trHeight w:hRule="exact" w:val="336"/>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188" w:lineRule="exact"/>
            </w:pPr>
            <w:r>
              <w:rPr>
                <w:rStyle w:val="Gvdemetni285pt"/>
              </w:rPr>
              <w:t>2-)Müzekart İndirimli ile aynı özelliklere sahiptir.</w:t>
            </w:r>
          </w:p>
        </w:tc>
      </w:tr>
      <w:tr w:rsidR="006F5CF1">
        <w:trPr>
          <w:trHeight w:hRule="exact" w:val="562"/>
          <w:jc w:val="center"/>
        </w:trPr>
        <w:tc>
          <w:tcPr>
            <w:tcW w:w="2851" w:type="dxa"/>
            <w:vMerge/>
            <w:tcBorders>
              <w:left w:val="single" w:sz="4" w:space="0" w:color="auto"/>
            </w:tcBorders>
            <w:shd w:val="clear" w:color="auto" w:fill="FFFFFF"/>
            <w:vAlign w:val="center"/>
          </w:tcPr>
          <w:p w:rsidR="006F5CF1" w:rsidRDefault="006F5CF1">
            <w:pPr>
              <w:framePr w:w="9605" w:wrap="notBeside" w:vAnchor="text" w:hAnchor="text" w:xAlign="center" w:y="1"/>
            </w:pPr>
          </w:p>
        </w:tc>
        <w:tc>
          <w:tcPr>
            <w:tcW w:w="6754" w:type="dxa"/>
            <w:tcBorders>
              <w:top w:val="single" w:sz="4" w:space="0" w:color="auto"/>
              <w:left w:val="single" w:sz="4" w:space="0" w:color="auto"/>
              <w:right w:val="single" w:sz="4" w:space="0" w:color="auto"/>
            </w:tcBorders>
            <w:shd w:val="clear" w:color="auto" w:fill="FFFFFF"/>
            <w:vAlign w:val="bottom"/>
          </w:tcPr>
          <w:p w:rsidR="006F5CF1" w:rsidRDefault="00731077">
            <w:pPr>
              <w:pStyle w:val="Gvdemetni20"/>
              <w:framePr w:w="9605" w:wrap="notBeside" w:vAnchor="text" w:hAnchor="text" w:xAlign="center" w:y="1"/>
              <w:shd w:val="clear" w:color="auto" w:fill="auto"/>
              <w:spacing w:line="206" w:lineRule="exact"/>
            </w:pPr>
            <w:r>
              <w:rPr>
                <w:rStyle w:val="Gvdemetni285pt"/>
              </w:rPr>
              <w:t xml:space="preserve">3-) e-Devlet kapısı MüzeKart İşlemleri, </w:t>
            </w:r>
            <w:r>
              <w:rPr>
                <w:rStyle w:val="Gvdemetni285pt"/>
                <w:lang w:val="en-US" w:eastAsia="en-US" w:bidi="en-US"/>
              </w:rPr>
              <w:t xml:space="preserve">muze.gov.tr, </w:t>
            </w:r>
            <w:r>
              <w:rPr>
                <w:rStyle w:val="Gvdemetni285pt"/>
              </w:rPr>
              <w:t>MüzeKart:Türkiyen'in Müzeleri Uygulaması ve satış yapılan müze gişeleri ve Müzekart satış noktalarından edinilebilir.</w:t>
            </w:r>
          </w:p>
        </w:tc>
      </w:tr>
      <w:tr w:rsidR="006F5CF1">
        <w:trPr>
          <w:trHeight w:hRule="exact" w:val="1037"/>
          <w:jc w:val="center"/>
        </w:trPr>
        <w:tc>
          <w:tcPr>
            <w:tcW w:w="2851" w:type="dxa"/>
            <w:tcBorders>
              <w:top w:val="single" w:sz="4" w:space="0" w:color="auto"/>
              <w:left w:val="single" w:sz="4" w:space="0" w:color="auto"/>
              <w:bottom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44" w:lineRule="exact"/>
              <w:jc w:val="center"/>
            </w:pPr>
            <w:r>
              <w:rPr>
                <w:rStyle w:val="Gvdemetni211pt"/>
              </w:rPr>
              <w:t>Müzekart Diplomatik</w:t>
            </w:r>
          </w:p>
        </w:tc>
        <w:tc>
          <w:tcPr>
            <w:tcW w:w="6754" w:type="dxa"/>
            <w:tcBorders>
              <w:top w:val="single" w:sz="4" w:space="0" w:color="auto"/>
              <w:left w:val="single" w:sz="4" w:space="0" w:color="auto"/>
              <w:bottom w:val="single" w:sz="4" w:space="0" w:color="auto"/>
              <w:right w:val="single" w:sz="4" w:space="0" w:color="auto"/>
            </w:tcBorders>
            <w:shd w:val="clear" w:color="auto" w:fill="FFFFFF"/>
            <w:vAlign w:val="center"/>
          </w:tcPr>
          <w:p w:rsidR="006F5CF1" w:rsidRDefault="00731077">
            <w:pPr>
              <w:pStyle w:val="Gvdemetni20"/>
              <w:framePr w:w="9605" w:wrap="notBeside" w:vAnchor="text" w:hAnchor="text" w:xAlign="center" w:y="1"/>
              <w:shd w:val="clear" w:color="auto" w:fill="auto"/>
              <w:spacing w:line="206" w:lineRule="exact"/>
            </w:pPr>
            <w:r>
              <w:rPr>
                <w:rStyle w:val="Gvdemetni285pt"/>
              </w:rPr>
              <w:t>1-)Türkiye’de bulunan yabancı misyon şeflikleri ve temsilciliklerinde görev yapan personel ile eş ve çocuklarına verilir. Bu kart, Müzekart+ ile aynı olanaklara sahip olup DÖSİMM Gişe İşletmeleri Grup Başkanlığı tarafından düzenlenir. Başvuruda görevli olduğuna dair resmi imzalı evrak esastır.</w:t>
            </w:r>
          </w:p>
        </w:tc>
      </w:tr>
      <w:tr w:rsidR="00AA0D38">
        <w:trPr>
          <w:trHeight w:hRule="exact" w:val="1037"/>
          <w:jc w:val="center"/>
        </w:trPr>
        <w:tc>
          <w:tcPr>
            <w:tcW w:w="2851" w:type="dxa"/>
            <w:tcBorders>
              <w:top w:val="single" w:sz="4" w:space="0" w:color="auto"/>
              <w:left w:val="single" w:sz="4" w:space="0" w:color="auto"/>
              <w:bottom w:val="single" w:sz="4" w:space="0" w:color="auto"/>
            </w:tcBorders>
            <w:shd w:val="clear" w:color="auto" w:fill="FFFFFF"/>
            <w:vAlign w:val="center"/>
          </w:tcPr>
          <w:p w:rsidR="00AA0D38" w:rsidRDefault="00C079EF" w:rsidP="00AA0D38">
            <w:pPr>
              <w:pStyle w:val="Gvdemetni20"/>
              <w:framePr w:w="9605" w:wrap="notBeside" w:vAnchor="text" w:hAnchor="text" w:xAlign="center" w:y="1"/>
              <w:shd w:val="clear" w:color="auto" w:fill="auto"/>
              <w:spacing w:line="244" w:lineRule="exact"/>
              <w:jc w:val="center"/>
              <w:rPr>
                <w:rStyle w:val="Gvdemetni211pt"/>
              </w:rPr>
            </w:pPr>
            <w:r>
              <w:rPr>
                <w:rStyle w:val="Gvdemetni211pt"/>
              </w:rPr>
              <w:t>Müzekart’</w:t>
            </w:r>
            <w:bookmarkStart w:id="3" w:name="_GoBack"/>
            <w:bookmarkEnd w:id="3"/>
            <w:r w:rsidR="00AA0D38">
              <w:rPr>
                <w:rStyle w:val="Gvdemetni211pt"/>
              </w:rPr>
              <w:t>99</w:t>
            </w:r>
          </w:p>
        </w:tc>
        <w:tc>
          <w:tcPr>
            <w:tcW w:w="6754" w:type="dxa"/>
            <w:tcBorders>
              <w:top w:val="single" w:sz="4" w:space="0" w:color="auto"/>
              <w:left w:val="single" w:sz="4" w:space="0" w:color="auto"/>
              <w:bottom w:val="single" w:sz="4" w:space="0" w:color="auto"/>
              <w:right w:val="single" w:sz="4" w:space="0" w:color="auto"/>
            </w:tcBorders>
            <w:shd w:val="clear" w:color="auto" w:fill="FFFFFF"/>
            <w:vAlign w:val="center"/>
          </w:tcPr>
          <w:p w:rsidR="00AA0D38" w:rsidRDefault="00AA0D38">
            <w:pPr>
              <w:pStyle w:val="Gvdemetni20"/>
              <w:framePr w:w="9605" w:wrap="notBeside" w:vAnchor="text" w:hAnchor="text" w:xAlign="center" w:y="1"/>
              <w:shd w:val="clear" w:color="auto" w:fill="auto"/>
              <w:spacing w:line="206" w:lineRule="exact"/>
              <w:rPr>
                <w:rStyle w:val="Gvdemetni285pt"/>
              </w:rPr>
            </w:pPr>
            <w:r>
              <w:rPr>
                <w:rStyle w:val="Gvdemetni285pt"/>
              </w:rPr>
              <w:t xml:space="preserve">1-) </w:t>
            </w:r>
            <w:r w:rsidRPr="00AA0D38">
              <w:rPr>
                <w:rStyle w:val="Gvdemetni285pt"/>
              </w:rPr>
              <w:t>Türkiye'de altı aydan fazla ikamet eden, T.C. Nüfus ve Vatandaşlık İşleri Genel Müdürlüğü</w:t>
            </w:r>
            <w:r>
              <w:rPr>
                <w:rStyle w:val="Gvdemetni285pt"/>
              </w:rPr>
              <w:t xml:space="preserve"> </w:t>
            </w:r>
            <w:r w:rsidRPr="00AA0D38">
              <w:rPr>
                <w:rStyle w:val="Gvdemetni285pt"/>
              </w:rPr>
              <w:t>tarafından verilen ve kimlik kartı numarası 99 ile başlayan yabancı uyruklular için  müze ve örenyeri</w:t>
            </w:r>
            <w:r>
              <w:rPr>
                <w:rStyle w:val="Gvdemetni285pt"/>
              </w:rPr>
              <w:t xml:space="preserve"> </w:t>
            </w:r>
            <w:r w:rsidRPr="00AA0D38">
              <w:rPr>
                <w:rStyle w:val="Gvdemetni285pt"/>
              </w:rPr>
              <w:t>girişlerine olanak sağlayan yeni bir kart</w:t>
            </w:r>
            <w:r>
              <w:rPr>
                <w:rStyle w:val="Gvdemetni285pt"/>
              </w:rPr>
              <w:t>tır.</w:t>
            </w:r>
          </w:p>
        </w:tc>
      </w:tr>
    </w:tbl>
    <w:p w:rsidR="006F5CF1" w:rsidRDefault="006F5CF1">
      <w:pPr>
        <w:framePr w:w="9605" w:wrap="notBeside" w:vAnchor="text" w:hAnchor="text" w:xAlign="center" w:y="1"/>
        <w:rPr>
          <w:sz w:val="2"/>
          <w:szCs w:val="2"/>
        </w:rPr>
      </w:pPr>
    </w:p>
    <w:p w:rsidR="006F5CF1" w:rsidRDefault="006F5CF1">
      <w:pPr>
        <w:rPr>
          <w:sz w:val="2"/>
          <w:szCs w:val="2"/>
        </w:rPr>
      </w:pPr>
    </w:p>
    <w:p w:rsidR="00AA0D38" w:rsidRDefault="00AA0D38">
      <w:pPr>
        <w:pStyle w:val="Gvdemetni20"/>
        <w:shd w:val="clear" w:color="auto" w:fill="auto"/>
        <w:ind w:left="260"/>
      </w:pPr>
    </w:p>
    <w:p w:rsidR="006F5CF1" w:rsidRDefault="00731077">
      <w:pPr>
        <w:pStyle w:val="Gvdemetni20"/>
        <w:shd w:val="clear" w:color="auto" w:fill="auto"/>
        <w:ind w:left="260"/>
      </w:pPr>
      <w:r>
        <w:t>DÖSİMM, fiyatlar ve sunulan ürün ve hizmetler üzerinde değişiklik yapma hakkını her zaman saklı tutar.</w:t>
      </w:r>
    </w:p>
    <w:sectPr w:rsidR="006F5CF1">
      <w:pgSz w:w="11900" w:h="16840"/>
      <w:pgMar w:top="685" w:right="821" w:bottom="1597" w:left="82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CAD" w:rsidRDefault="00FF2CAD">
      <w:r>
        <w:separator/>
      </w:r>
    </w:p>
  </w:endnote>
  <w:endnote w:type="continuationSeparator" w:id="0">
    <w:p w:rsidR="00FF2CAD" w:rsidRDefault="00FF2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CAD" w:rsidRDefault="00FF2CAD"/>
  </w:footnote>
  <w:footnote w:type="continuationSeparator" w:id="0">
    <w:p w:rsidR="00FF2CAD" w:rsidRDefault="00FF2CA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812B1"/>
    <w:multiLevelType w:val="hybridMultilevel"/>
    <w:tmpl w:val="2BD2685C"/>
    <w:lvl w:ilvl="0" w:tplc="AA6A48BE">
      <w:start w:val="1"/>
      <w:numFmt w:val="upperRoman"/>
      <w:lvlText w:val="(%1)"/>
      <w:lvlJc w:val="left"/>
      <w:pPr>
        <w:ind w:left="1440" w:hanging="108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CF1"/>
    <w:rsid w:val="006F5CF1"/>
    <w:rsid w:val="00731077"/>
    <w:rsid w:val="00AA0D38"/>
    <w:rsid w:val="00C079EF"/>
    <w:rsid w:val="00FF2C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D0185"/>
  <w15:docId w15:val="{C85FD291-5C8F-440A-8D03-6B610D28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tr-TR" w:eastAsia="tr-TR" w:bidi="tr-T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3">
    <w:name w:val="Gövde metni (3)_"/>
    <w:basedOn w:val="VarsaylanParagrafYazTipi"/>
    <w:link w:val="Gvdemetni30"/>
    <w:rPr>
      <w:rFonts w:ascii="Times New Roman" w:eastAsia="Times New Roman" w:hAnsi="Times New Roman" w:cs="Times New Roman"/>
      <w:b w:val="0"/>
      <w:bCs w:val="0"/>
      <w:i w:val="0"/>
      <w:iCs w:val="0"/>
      <w:smallCaps w:val="0"/>
      <w:strike w:val="0"/>
      <w:spacing w:val="10"/>
      <w:sz w:val="14"/>
      <w:szCs w:val="14"/>
      <w:u w:val="none"/>
    </w:rPr>
  </w:style>
  <w:style w:type="character" w:customStyle="1" w:styleId="Gvdemetni31">
    <w:name w:val="Gövde metni (3)"/>
    <w:basedOn w:val="Gvdemetni3"/>
    <w:rPr>
      <w:rFonts w:ascii="Times New Roman" w:eastAsia="Times New Roman" w:hAnsi="Times New Roman" w:cs="Times New Roman"/>
      <w:b w:val="0"/>
      <w:bCs w:val="0"/>
      <w:i w:val="0"/>
      <w:iCs w:val="0"/>
      <w:smallCaps w:val="0"/>
      <w:strike w:val="0"/>
      <w:color w:val="108894"/>
      <w:spacing w:val="10"/>
      <w:w w:val="100"/>
      <w:position w:val="0"/>
      <w:sz w:val="14"/>
      <w:szCs w:val="14"/>
      <w:u w:val="none"/>
      <w:lang w:val="tr-TR" w:eastAsia="tr-TR" w:bidi="tr-TR"/>
    </w:rPr>
  </w:style>
  <w:style w:type="character" w:customStyle="1" w:styleId="Gvdemetni32">
    <w:name w:val="Gövde metni (3)"/>
    <w:basedOn w:val="Gvdemetni3"/>
    <w:rPr>
      <w:rFonts w:ascii="Times New Roman" w:eastAsia="Times New Roman" w:hAnsi="Times New Roman" w:cs="Times New Roman"/>
      <w:b w:val="0"/>
      <w:bCs w:val="0"/>
      <w:i w:val="0"/>
      <w:iCs w:val="0"/>
      <w:smallCaps w:val="0"/>
      <w:strike w:val="0"/>
      <w:color w:val="64ABB9"/>
      <w:spacing w:val="10"/>
      <w:w w:val="100"/>
      <w:position w:val="0"/>
      <w:sz w:val="14"/>
      <w:szCs w:val="14"/>
      <w:u w:val="none"/>
      <w:lang w:val="tr-TR" w:eastAsia="tr-TR" w:bidi="tr-TR"/>
    </w:rPr>
  </w:style>
  <w:style w:type="character" w:customStyle="1" w:styleId="Gvdemetni33">
    <w:name w:val="Gövde metni (3)"/>
    <w:basedOn w:val="Gvdemetni3"/>
    <w:rPr>
      <w:rFonts w:ascii="Times New Roman" w:eastAsia="Times New Roman" w:hAnsi="Times New Roman" w:cs="Times New Roman"/>
      <w:b w:val="0"/>
      <w:bCs w:val="0"/>
      <w:i w:val="0"/>
      <w:iCs w:val="0"/>
      <w:smallCaps w:val="0"/>
      <w:strike w:val="0"/>
      <w:color w:val="0BA1BB"/>
      <w:spacing w:val="10"/>
      <w:w w:val="100"/>
      <w:position w:val="0"/>
      <w:sz w:val="14"/>
      <w:szCs w:val="14"/>
      <w:u w:val="none"/>
      <w:lang w:val="tr-TR" w:eastAsia="tr-TR" w:bidi="tr-TR"/>
    </w:rPr>
  </w:style>
  <w:style w:type="character" w:customStyle="1" w:styleId="Gvdemetni310pt0ptbolukbraklyor">
    <w:name w:val="Gövde metni (3) + 10 pt;0 pt boşluk bırakılıyor"/>
    <w:basedOn w:val="Gvdemetni3"/>
    <w:rPr>
      <w:rFonts w:ascii="Times New Roman" w:eastAsia="Times New Roman" w:hAnsi="Times New Roman" w:cs="Times New Roman"/>
      <w:b w:val="0"/>
      <w:bCs w:val="0"/>
      <w:i w:val="0"/>
      <w:iCs w:val="0"/>
      <w:smallCaps w:val="0"/>
      <w:strike w:val="0"/>
      <w:color w:val="0BA1BB"/>
      <w:spacing w:val="0"/>
      <w:w w:val="100"/>
      <w:position w:val="0"/>
      <w:sz w:val="20"/>
      <w:szCs w:val="20"/>
      <w:u w:val="none"/>
    </w:rPr>
  </w:style>
  <w:style w:type="character" w:customStyle="1" w:styleId="Balk1">
    <w:name w:val="Başlık #1_"/>
    <w:basedOn w:val="VarsaylanParagrafYazTipi"/>
    <w:link w:val="Balk10"/>
    <w:rPr>
      <w:rFonts w:ascii="Segoe UI" w:eastAsia="Segoe UI" w:hAnsi="Segoe UI" w:cs="Segoe UI"/>
      <w:b/>
      <w:bCs/>
      <w:i w:val="0"/>
      <w:iCs w:val="0"/>
      <w:smallCaps w:val="0"/>
      <w:strike w:val="0"/>
      <w:w w:val="100"/>
      <w:sz w:val="44"/>
      <w:szCs w:val="44"/>
      <w:u w:val="none"/>
    </w:rPr>
  </w:style>
  <w:style w:type="character" w:customStyle="1" w:styleId="Balk11">
    <w:name w:val="Başlık #1"/>
    <w:basedOn w:val="Balk1"/>
    <w:rPr>
      <w:rFonts w:ascii="Segoe UI" w:eastAsia="Segoe UI" w:hAnsi="Segoe UI" w:cs="Segoe UI"/>
      <w:b/>
      <w:bCs/>
      <w:i w:val="0"/>
      <w:iCs w:val="0"/>
      <w:smallCaps w:val="0"/>
      <w:strike w:val="0"/>
      <w:color w:val="3F98A7"/>
      <w:spacing w:val="0"/>
      <w:w w:val="100"/>
      <w:position w:val="0"/>
      <w:sz w:val="44"/>
      <w:szCs w:val="44"/>
      <w:u w:val="none"/>
      <w:lang w:val="tr-TR" w:eastAsia="tr-TR" w:bidi="tr-TR"/>
    </w:rPr>
  </w:style>
  <w:style w:type="character" w:customStyle="1" w:styleId="Balk12">
    <w:name w:val="Başlık #1"/>
    <w:basedOn w:val="Balk1"/>
    <w:rPr>
      <w:rFonts w:ascii="Segoe UI" w:eastAsia="Segoe UI" w:hAnsi="Segoe UI" w:cs="Segoe UI"/>
      <w:b/>
      <w:bCs/>
      <w:i w:val="0"/>
      <w:iCs w:val="0"/>
      <w:smallCaps w:val="0"/>
      <w:strike w:val="0"/>
      <w:color w:val="0BA1BB"/>
      <w:spacing w:val="0"/>
      <w:w w:val="100"/>
      <w:position w:val="0"/>
      <w:sz w:val="44"/>
      <w:szCs w:val="44"/>
      <w:u w:val="none"/>
      <w:lang w:val="tr-TR" w:eastAsia="tr-TR" w:bidi="tr-TR"/>
    </w:rPr>
  </w:style>
  <w:style w:type="character" w:customStyle="1" w:styleId="Gvdemetni4">
    <w:name w:val="Gövde metni (4)_"/>
    <w:basedOn w:val="VarsaylanParagrafYazTipi"/>
    <w:link w:val="Gvdemetni40"/>
    <w:rPr>
      <w:rFonts w:ascii="Times New Roman" w:eastAsia="Times New Roman" w:hAnsi="Times New Roman" w:cs="Times New Roman"/>
      <w:b w:val="0"/>
      <w:bCs w:val="0"/>
      <w:i w:val="0"/>
      <w:iCs w:val="0"/>
      <w:smallCaps w:val="0"/>
      <w:strike w:val="0"/>
      <w:sz w:val="8"/>
      <w:szCs w:val="8"/>
      <w:u w:val="none"/>
    </w:rPr>
  </w:style>
  <w:style w:type="character" w:customStyle="1" w:styleId="Gvdemetni41">
    <w:name w:val="Gövde metni (4)"/>
    <w:basedOn w:val="Gvdemetni4"/>
    <w:rPr>
      <w:rFonts w:ascii="Times New Roman" w:eastAsia="Times New Roman" w:hAnsi="Times New Roman" w:cs="Times New Roman"/>
      <w:b w:val="0"/>
      <w:bCs w:val="0"/>
      <w:i w:val="0"/>
      <w:iCs w:val="0"/>
      <w:smallCaps w:val="0"/>
      <w:strike w:val="0"/>
      <w:color w:val="929292"/>
      <w:spacing w:val="0"/>
      <w:w w:val="100"/>
      <w:position w:val="0"/>
      <w:sz w:val="8"/>
      <w:szCs w:val="8"/>
      <w:u w:val="none"/>
      <w:lang w:val="tr-TR" w:eastAsia="tr-TR" w:bidi="tr-TR"/>
    </w:rPr>
  </w:style>
  <w:style w:type="character" w:customStyle="1" w:styleId="Balk22">
    <w:name w:val="Başlık #2 (2)_"/>
    <w:basedOn w:val="VarsaylanParagrafYazTipi"/>
    <w:link w:val="Balk220"/>
    <w:rPr>
      <w:rFonts w:ascii="Calibri" w:eastAsia="Calibri" w:hAnsi="Calibri" w:cs="Calibri"/>
      <w:b/>
      <w:bCs/>
      <w:i w:val="0"/>
      <w:iCs w:val="0"/>
      <w:smallCaps w:val="0"/>
      <w:strike w:val="0"/>
      <w:sz w:val="28"/>
      <w:szCs w:val="28"/>
      <w:u w:val="none"/>
    </w:rPr>
  </w:style>
  <w:style w:type="character" w:customStyle="1" w:styleId="Gvdemetni5">
    <w:name w:val="Gövde metni (5)_"/>
    <w:basedOn w:val="VarsaylanParagrafYazTipi"/>
    <w:link w:val="Gvdemetni50"/>
    <w:rPr>
      <w:rFonts w:ascii="Segoe UI" w:eastAsia="Segoe UI" w:hAnsi="Segoe UI" w:cs="Segoe UI"/>
      <w:b/>
      <w:bCs/>
      <w:i w:val="0"/>
      <w:iCs w:val="0"/>
      <w:smallCaps w:val="0"/>
      <w:strike w:val="0"/>
      <w:sz w:val="26"/>
      <w:szCs w:val="26"/>
      <w:u w:val="none"/>
    </w:rPr>
  </w:style>
  <w:style w:type="character" w:customStyle="1" w:styleId="Balk2">
    <w:name w:val="Başlık #2_"/>
    <w:basedOn w:val="VarsaylanParagrafYazTipi"/>
    <w:link w:val="Balk20"/>
    <w:rPr>
      <w:rFonts w:ascii="Segoe UI" w:eastAsia="Segoe UI" w:hAnsi="Segoe UI" w:cs="Segoe UI"/>
      <w:b/>
      <w:bCs/>
      <w:i w:val="0"/>
      <w:iCs w:val="0"/>
      <w:smallCaps w:val="0"/>
      <w:strike w:val="0"/>
      <w:sz w:val="24"/>
      <w:szCs w:val="24"/>
      <w:u w:val="none"/>
    </w:rPr>
  </w:style>
  <w:style w:type="character" w:customStyle="1" w:styleId="Gvdemetni2">
    <w:name w:val="Gövde metni (2)_"/>
    <w:basedOn w:val="VarsaylanParagrafYazTipi"/>
    <w:link w:val="Gvdemetni20"/>
    <w:rPr>
      <w:rFonts w:ascii="Times New Roman" w:eastAsia="Times New Roman" w:hAnsi="Times New Roman" w:cs="Times New Roman"/>
      <w:b w:val="0"/>
      <w:bCs w:val="0"/>
      <w:i w:val="0"/>
      <w:iCs w:val="0"/>
      <w:smallCaps w:val="0"/>
      <w:strike w:val="0"/>
      <w:sz w:val="20"/>
      <w:szCs w:val="20"/>
      <w:u w:val="none"/>
    </w:rPr>
  </w:style>
  <w:style w:type="character" w:customStyle="1" w:styleId="Gvdemetni2115ptKaln">
    <w:name w:val="Gövde metni (2) + 11;5 pt;Kalın"/>
    <w:basedOn w:val="Gvdemetni2"/>
    <w:rPr>
      <w:rFonts w:ascii="Times New Roman" w:eastAsia="Times New Roman" w:hAnsi="Times New Roman" w:cs="Times New Roman"/>
      <w:b/>
      <w:bCs/>
      <w:i w:val="0"/>
      <w:iCs w:val="0"/>
      <w:smallCaps w:val="0"/>
      <w:strike w:val="0"/>
      <w:color w:val="000000"/>
      <w:spacing w:val="0"/>
      <w:w w:val="100"/>
      <w:position w:val="0"/>
      <w:sz w:val="23"/>
      <w:szCs w:val="23"/>
      <w:u w:val="none"/>
      <w:lang w:val="tr-TR" w:eastAsia="tr-TR" w:bidi="tr-TR"/>
    </w:rPr>
  </w:style>
  <w:style w:type="character" w:customStyle="1" w:styleId="Gvdemetni285pt">
    <w:name w:val="Gövde metni (2) + 8;5 pt"/>
    <w:basedOn w:val="Gvdemetni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tr-TR" w:eastAsia="tr-TR" w:bidi="tr-TR"/>
    </w:rPr>
  </w:style>
  <w:style w:type="character" w:customStyle="1" w:styleId="Gvdemetni211pt">
    <w:name w:val="Gövde metni (2) + 11 pt"/>
    <w:basedOn w:val="Gvdemetni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style>
  <w:style w:type="paragraph" w:customStyle="1" w:styleId="Gvdemetni30">
    <w:name w:val="Gövde metni (3)"/>
    <w:basedOn w:val="Normal"/>
    <w:link w:val="Gvdemetni3"/>
    <w:pPr>
      <w:shd w:val="clear" w:color="auto" w:fill="FFFFFF"/>
      <w:spacing w:after="200" w:line="222" w:lineRule="exact"/>
      <w:jc w:val="both"/>
    </w:pPr>
    <w:rPr>
      <w:rFonts w:ascii="Times New Roman" w:eastAsia="Times New Roman" w:hAnsi="Times New Roman" w:cs="Times New Roman"/>
      <w:spacing w:val="10"/>
      <w:sz w:val="14"/>
      <w:szCs w:val="14"/>
    </w:rPr>
  </w:style>
  <w:style w:type="paragraph" w:customStyle="1" w:styleId="Balk10">
    <w:name w:val="Başlık #1"/>
    <w:basedOn w:val="Normal"/>
    <w:link w:val="Balk1"/>
    <w:pPr>
      <w:shd w:val="clear" w:color="auto" w:fill="FFFFFF"/>
      <w:spacing w:before="200" w:line="586" w:lineRule="exact"/>
      <w:jc w:val="both"/>
      <w:outlineLvl w:val="0"/>
    </w:pPr>
    <w:rPr>
      <w:rFonts w:ascii="Segoe UI" w:eastAsia="Segoe UI" w:hAnsi="Segoe UI" w:cs="Segoe UI"/>
      <w:b/>
      <w:bCs/>
      <w:sz w:val="44"/>
      <w:szCs w:val="44"/>
    </w:rPr>
  </w:style>
  <w:style w:type="paragraph" w:customStyle="1" w:styleId="Gvdemetni40">
    <w:name w:val="Gövde metni (4)"/>
    <w:basedOn w:val="Normal"/>
    <w:link w:val="Gvdemetni4"/>
    <w:pPr>
      <w:shd w:val="clear" w:color="auto" w:fill="FFFFFF"/>
      <w:spacing w:after="320" w:line="88" w:lineRule="exact"/>
    </w:pPr>
    <w:rPr>
      <w:rFonts w:ascii="Times New Roman" w:eastAsia="Times New Roman" w:hAnsi="Times New Roman" w:cs="Times New Roman"/>
      <w:sz w:val="8"/>
      <w:szCs w:val="8"/>
    </w:rPr>
  </w:style>
  <w:style w:type="paragraph" w:customStyle="1" w:styleId="Balk220">
    <w:name w:val="Başlık #2 (2)"/>
    <w:basedOn w:val="Normal"/>
    <w:link w:val="Balk22"/>
    <w:pPr>
      <w:shd w:val="clear" w:color="auto" w:fill="FFFFFF"/>
      <w:spacing w:before="320" w:after="200" w:line="342" w:lineRule="exact"/>
      <w:outlineLvl w:val="1"/>
    </w:pPr>
    <w:rPr>
      <w:rFonts w:ascii="Calibri" w:eastAsia="Calibri" w:hAnsi="Calibri" w:cs="Calibri"/>
      <w:b/>
      <w:bCs/>
      <w:sz w:val="28"/>
      <w:szCs w:val="28"/>
    </w:rPr>
  </w:style>
  <w:style w:type="paragraph" w:customStyle="1" w:styleId="Gvdemetni50">
    <w:name w:val="Gövde metni (5)"/>
    <w:basedOn w:val="Normal"/>
    <w:link w:val="Gvdemetni5"/>
    <w:pPr>
      <w:shd w:val="clear" w:color="auto" w:fill="FFFFFF"/>
      <w:spacing w:before="200" w:line="547" w:lineRule="exact"/>
      <w:jc w:val="center"/>
    </w:pPr>
    <w:rPr>
      <w:rFonts w:ascii="Segoe UI" w:eastAsia="Segoe UI" w:hAnsi="Segoe UI" w:cs="Segoe UI"/>
      <w:b/>
      <w:bCs/>
      <w:sz w:val="26"/>
      <w:szCs w:val="26"/>
    </w:rPr>
  </w:style>
  <w:style w:type="paragraph" w:customStyle="1" w:styleId="Balk20">
    <w:name w:val="Başlık #2"/>
    <w:basedOn w:val="Normal"/>
    <w:link w:val="Balk2"/>
    <w:pPr>
      <w:shd w:val="clear" w:color="auto" w:fill="FFFFFF"/>
      <w:spacing w:after="540" w:line="547" w:lineRule="exact"/>
      <w:jc w:val="center"/>
      <w:outlineLvl w:val="1"/>
    </w:pPr>
    <w:rPr>
      <w:rFonts w:ascii="Segoe UI" w:eastAsia="Segoe UI" w:hAnsi="Segoe UI" w:cs="Segoe UI"/>
      <w:b/>
      <w:bCs/>
    </w:rPr>
  </w:style>
  <w:style w:type="paragraph" w:customStyle="1" w:styleId="Gvdemetni20">
    <w:name w:val="Gövde metni (2)"/>
    <w:basedOn w:val="Normal"/>
    <w:link w:val="Gvdemetni2"/>
    <w:pPr>
      <w:shd w:val="clear" w:color="auto" w:fill="FFFFFF"/>
      <w:spacing w:line="222" w:lineRule="exact"/>
    </w:pPr>
    <w:rPr>
      <w:rFonts w:ascii="Times New Roman" w:eastAsia="Times New Roman" w:hAnsi="Times New Roman" w:cs="Times New Roman"/>
      <w:sz w:val="20"/>
      <w:szCs w:val="20"/>
    </w:rPr>
  </w:style>
  <w:style w:type="paragraph" w:styleId="ListeParagraf">
    <w:name w:val="List Paragraph"/>
    <w:basedOn w:val="Normal"/>
    <w:uiPriority w:val="34"/>
    <w:qFormat/>
    <w:rsid w:val="00AA0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ÖZTÜRK</dc:creator>
  <cp:lastModifiedBy>Bilal ÖZTÜRK</cp:lastModifiedBy>
  <cp:revision>2</cp:revision>
  <dcterms:created xsi:type="dcterms:W3CDTF">2024-07-25T10:07:00Z</dcterms:created>
  <dcterms:modified xsi:type="dcterms:W3CDTF">2024-07-25T13:27:00Z</dcterms:modified>
</cp:coreProperties>
</file>